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EBC-C Project on Promoting the Use of ICT</w:t>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 Achievement of Sustainable Development Goals</w:t>
      </w:r>
    </w:p>
    <w:p w:rsidR="00000000" w:rsidDel="00000000" w:rsidP="00000000" w:rsidRDefault="00000000" w:rsidRPr="00000000" w14:paraId="00000003">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Plan for the year 2020</w:t>
      </w:r>
    </w:p>
    <w:p w:rsidR="00000000" w:rsidDel="00000000" w:rsidP="00000000" w:rsidRDefault="00000000" w:rsidRPr="00000000" w14:paraId="00000005">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Background</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the information and communications technologies (ICTs) are undergoing a major transformation driven by innovation and intelligent applications around the world. A new generation of ICTs, such as 5G, AI, big data, are more widely integrated with the real economy. The wide use of ICTs is of vital significance to addressing major socio-economic issues, such as population growth, resource shortage, aging, environmental pollution and prevention of natural disasters. With the rapid development of digital economy, the traditional sectors such as manufacturing healthcare, agriculture and transportation will become more energy-efficient, intelligent and efficient.</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People’s Republic of China (China) would like to support APT to promote the use of ICT applications in APT Members to address economic and social issues for achieving sustainable development goals (SDGs). In this regard, China will provide extra-budgetary contributions and cooperate with APT members to implement projects in the field of ICT for SDGs.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is intended to facilitate the use of ICT to assist APT members for addressing issues such as poverty, digital divide, health, education, clean energy, infrastructure development, sustainable cities and communities, etc. The project will be implemented by beneficiary countries (APT Members) in cooperation with Chinese experts. The project may be composed of, but not limited to, field investigation to beneficiary countries, study visit to China, joint research and conducting pilot projects.</w:t>
      </w:r>
    </w:p>
    <w:p w:rsidR="00000000" w:rsidDel="00000000" w:rsidP="00000000" w:rsidRDefault="00000000" w:rsidRPr="00000000" w14:paraId="0000000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project will be partially or fully funded by the Extra-Budgetary Contributions from China (EBC-C) with the maximum amount of USD 100,000. (This limit does not exclude a project with a budget above that limit as long as there are other secured financial resources to finance it.) </w:t>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Examples of the Project</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project aims to promote the sustainable development of APT member countries through the use of ICTs. The followings are some examples on using ICT for the achievement of SDGs. </w:t>
      </w:r>
    </w:p>
    <w:p w:rsidR="00000000" w:rsidDel="00000000" w:rsidP="00000000" w:rsidRDefault="00000000" w:rsidRPr="00000000" w14:paraId="0000000E">
      <w:pPr>
        <w:spacing w:after="240" w:before="240" w:lineRule="auto"/>
        <w:ind w:left="5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Example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(Improving energy supply for ICT facilities in remote areas)</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Electricity is the source of energy for ICT equipment. Through the use of clean energy, carbon emissions can be further reduced, and energy costs can be saved. Priority should be given to those highly-flexible energy sources that can be applied to a variety of scenarios. As one of the most important infrastructures, ICT facilities have high requirements on energy supply. If power outage happens, it is likely to cause huge economic losses. While in some remote areas, such as islands and mountains where it is difficult to access electricity, photovoltaic power generation, as a clean and pollution-free power generation method that converts solar energy into electricity, has been more widely used and become an integral part of energy supply in some countries. By adding more photovoltaic power generation and energy storage equipment, the operational security of ICT facilities can be greatly enhanced, the risks of power outages reduced, operating cost saved and efficiency improved. </w:t>
      </w:r>
    </w:p>
    <w:p w:rsidR="00000000" w:rsidDel="00000000" w:rsidP="00000000" w:rsidRDefault="00000000" w:rsidRPr="00000000" w14:paraId="00000010">
      <w:pPr>
        <w:spacing w:after="240" w:before="120" w:lineRule="auto"/>
        <w:ind w:left="5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Example 2 (Reducing peak demand with ICT facilities)</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power-intensive areas, in order to achieve a balance in power consumption, a time-of-day pricing policy may be implemented to encourage the enterprises to use electricity during off-peak hours when the prices are low. ICT facilities applying such a pricing policy can consider having equipment that can cut peak power consumption and batteries with a long cycle life to "unload" electricity from the on-peak hours to the off-peak hours. Electrical energy can be converted into chemical energy during off-peak hours for storage; then the chemical energy will be converted to electrical energy during on-peak hours to power communication equipment, therefore achieving the goal of saving electricity costs and ensuring power supply.</w:t>
      </w:r>
    </w:p>
    <w:p w:rsidR="00000000" w:rsidDel="00000000" w:rsidP="00000000" w:rsidRDefault="00000000" w:rsidRPr="00000000" w14:paraId="00000012">
      <w:pPr>
        <w:spacing w:before="240" w:lineRule="auto"/>
        <w:ind w:left="5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Example 3 (Smart integrated ICT-enabled light poles)</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Smart light poles refer to the street light poles that integrate traffic signs, road name plates, and directional signs along the street to reduce cost and increase efficiency. It will contribute to the rational and orderly use of urban space and the beauty of road environment. Smart light poles can perform such functions as intelligent lighting, information release, wireless network, video surveillance, emergency calls, </w:t>
      </w:r>
      <w:bookmarkStart w:colFirst="0" w:colLast="0" w:name="30j0zll" w:id="0"/>
      <w:bookmarkEnd w:id="0"/>
      <w:bookmarkStart w:colFirst="0" w:colLast="0" w:name="gjdgxs" w:id="1"/>
      <w:bookmarkEnd w:id="1"/>
      <w:r w:rsidDel="00000000" w:rsidR="00000000" w:rsidRPr="00000000">
        <w:rPr>
          <w:rFonts w:ascii="Times New Roman" w:cs="Times New Roman" w:eastAsia="Times New Roman" w:hAnsi="Times New Roman"/>
          <w:sz w:val="24"/>
          <w:szCs w:val="24"/>
          <w:rtl w:val="0"/>
        </w:rPr>
        <w:t xml:space="preserve">environmental monitoring sensors, and charging poles and become an integral part in the development of smart cities and communities.</w:t>
      </w:r>
    </w:p>
    <w:p w:rsidR="00000000" w:rsidDel="00000000" w:rsidP="00000000" w:rsidRDefault="00000000" w:rsidRPr="00000000" w14:paraId="00000014">
      <w:pPr>
        <w:spacing w:before="240" w:lineRule="auto"/>
        <w:ind w:left="5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Example 4 (ICTs for the development of agriculture and animal husbandry)</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an intelligent breeding solution for pig farms can be introduced, with the use of AI-based pig face recognition technology and inspection robots to monitor pigs' feeding, cough, asthma and other physical anomalies. It can also ensure that each pig obtains sufficient nutrients to avoid fighting among pigs in traditional farms. This solution can help farmers reduce labor costs by more than 30%, save feeds by 8-10%, and shorten the time to market by 5-8 days. The use of industrial Internet technologies allows traditional industries to realize digital upgrade and achieve sustainable development in a cost-effective and efficient manner.</w:t>
      </w:r>
    </w:p>
    <w:p w:rsidR="00000000" w:rsidDel="00000000" w:rsidP="00000000" w:rsidRDefault="00000000" w:rsidRPr="00000000" w14:paraId="0000001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Participants and Their Roles</w:t>
      </w:r>
    </w:p>
    <w:tbl>
      <w:tblPr>
        <w:tblStyle w:val="Table1"/>
        <w:tblW w:w="92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448"/>
        <w:gridCol w:w="5328"/>
        <w:tblGridChange w:id="0">
          <w:tblGrid>
            <w:gridCol w:w="1440"/>
            <w:gridCol w:w="2448"/>
            <w:gridCol w:w="5328"/>
          </w:tblGrid>
        </w:tblGridChange>
      </w:tblGrid>
      <w:tr>
        <w:trPr>
          <w:trHeight w:val="432" w:hRule="atLeast"/>
        </w:trPr>
        <w:tc>
          <w:tcPr>
            <w:gridSpan w:val="2"/>
            <w:shd w:fill="ebf1dd" w:val="clear"/>
            <w:vAlign w:val="center"/>
          </w:tcPr>
          <w:p w:rsidR="00000000" w:rsidDel="00000000" w:rsidP="00000000" w:rsidRDefault="00000000" w:rsidRPr="00000000" w14:paraId="00000017">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w:t>
            </w:r>
          </w:p>
        </w:tc>
        <w:tc>
          <w:tcPr>
            <w:shd w:fill="ebf1dd" w:val="clear"/>
            <w:vAlign w:val="center"/>
          </w:tcPr>
          <w:p w:rsidR="00000000" w:rsidDel="00000000" w:rsidP="00000000" w:rsidRDefault="00000000" w:rsidRPr="00000000" w14:paraId="00000019">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Roles</w:t>
            </w:r>
            <w:r w:rsidDel="00000000" w:rsidR="00000000" w:rsidRPr="00000000">
              <w:rPr>
                <w:rtl w:val="0"/>
              </w:rPr>
            </w:r>
          </w:p>
        </w:tc>
      </w:tr>
      <w:tr>
        <w:tc>
          <w:tcPr>
            <w:vMerge w:val="restart"/>
            <w:vAlign w:val="center"/>
          </w:tcPr>
          <w:p w:rsidR="00000000" w:rsidDel="00000000" w:rsidP="00000000" w:rsidRDefault="00000000" w:rsidRPr="00000000" w14:paraId="0000001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 members</w:t>
            </w:r>
          </w:p>
        </w:tc>
        <w:tc>
          <w:tcPr>
            <w:vAlign w:val="center"/>
          </w:tcPr>
          <w:p w:rsidR="00000000" w:rsidDel="00000000" w:rsidP="00000000" w:rsidRDefault="00000000" w:rsidRPr="00000000" w14:paraId="0000001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w:t>
            </w:r>
          </w:p>
        </w:tc>
        <w:tc>
          <w:tcPr/>
          <w:p w:rsidR="00000000" w:rsidDel="00000000" w:rsidP="00000000" w:rsidRDefault="00000000" w:rsidRPr="00000000" w14:paraId="000000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project document to APT</w:t>
            </w:r>
          </w:p>
          <w:p w:rsidR="00000000" w:rsidDel="00000000" w:rsidP="00000000" w:rsidRDefault="00000000" w:rsidRPr="00000000" w14:paraId="000000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the members in the project</w:t>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necessary support for implementing the project</w:t>
            </w:r>
          </w:p>
          <w:p w:rsidR="00000000" w:rsidDel="00000000" w:rsidP="00000000" w:rsidRDefault="00000000" w:rsidRPr="00000000" w14:paraId="000000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overall supervision of cooperating partners on the member’s side</w:t>
            </w:r>
          </w:p>
        </w:tc>
      </w:tr>
      <w:tr>
        <w:tc>
          <w:tcPr>
            <w:vMerge w:val="continue"/>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Cooperating Partners</w:t>
            </w:r>
          </w:p>
        </w:tc>
        <w:tc>
          <w:tcPr/>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and implement the project under the supervision of the Administration</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Implement the project with experts assigned by APT</w:t>
            </w:r>
          </w:p>
        </w:tc>
      </w:tr>
      <w:tr>
        <w:tc>
          <w:tcPr>
            <w:vMerge w:val="restart"/>
            <w:vAlign w:val="center"/>
          </w:tcPr>
          <w:p w:rsidR="00000000" w:rsidDel="00000000" w:rsidP="00000000" w:rsidRDefault="00000000" w:rsidRPr="00000000" w14:paraId="00000024">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China</w:t>
            </w:r>
          </w:p>
        </w:tc>
        <w:tc>
          <w:tcPr>
            <w:vAlign w:val="center"/>
          </w:tcPr>
          <w:p w:rsidR="00000000" w:rsidDel="00000000" w:rsidP="00000000" w:rsidRDefault="00000000" w:rsidRPr="00000000" w14:paraId="00000025">
            <w:pPr>
              <w:spacing w:after="0" w:before="12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MIIT of China</w:t>
            </w:r>
          </w:p>
          <w:p w:rsidR="00000000" w:rsidDel="00000000" w:rsidP="00000000" w:rsidRDefault="00000000" w:rsidRPr="00000000" w14:paraId="00000026">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CAI Guolei, </w:t>
            </w:r>
            <w:hyperlink r:id="rId6">
              <w:r w:rsidDel="00000000" w:rsidR="00000000" w:rsidRPr="00000000">
                <w:rPr>
                  <w:rFonts w:ascii="Times New Roman" w:cs="Times New Roman" w:eastAsia="Times New Roman" w:hAnsi="Times New Roman"/>
                  <w:color w:val="0000ff"/>
                  <w:sz w:val="24"/>
                  <w:szCs w:val="24"/>
                  <w:u w:val="single"/>
                  <w:rtl w:val="0"/>
                </w:rPr>
                <w:t xml:space="preserve">aptchina@miit.gov.cn</w:t>
              </w:r>
            </w:hyperlink>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Represent the Chinese government in the project</w:t>
            </w:r>
          </w:p>
          <w:p w:rsidR="00000000" w:rsidDel="00000000" w:rsidP="00000000" w:rsidRDefault="00000000" w:rsidRPr="00000000" w14:paraId="000000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overall supervision of the Chinese experts of the project</w:t>
            </w:r>
          </w:p>
        </w:tc>
      </w:tr>
      <w:tr>
        <w:tc>
          <w:tcPr>
            <w:vMerge w:val="continue"/>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CAICT</w:t>
            </w:r>
          </w:p>
          <w:p w:rsidR="00000000" w:rsidDel="00000000" w:rsidP="00000000" w:rsidRDefault="00000000" w:rsidRPr="00000000" w14:paraId="0000002B">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WANG Yapeng，</w:t>
            </w:r>
            <w:r w:rsidDel="00000000" w:rsidR="00000000" w:rsidRPr="00000000">
              <w:rPr>
                <w:rFonts w:ascii="Times New Roman" w:cs="Times New Roman" w:eastAsia="Times New Roman" w:hAnsi="Times New Roman"/>
                <w:color w:val="0000ff"/>
                <w:sz w:val="24"/>
                <w:szCs w:val="24"/>
                <w:u w:val="single"/>
                <w:rtl w:val="0"/>
              </w:rPr>
              <w:t xml:space="preserve">aptebcc@caict.ac.cn</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support for the submission of proposals</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the project as experts from China</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Extend necessary support for the project</w:t>
            </w:r>
          </w:p>
        </w:tc>
      </w:tr>
      <w:tr>
        <w:tc>
          <w:tcPr>
            <w:vMerge w:val="continue"/>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Cooperating Partners</w:t>
            </w:r>
          </w:p>
        </w:tc>
        <w:tc>
          <w:tcPr/>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in and implement the project under the supervision of MIIT</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the interim and final reports to the participating APT Members and APT Secretariat</w:t>
            </w:r>
          </w:p>
        </w:tc>
      </w:tr>
      <w:tr>
        <w:tc>
          <w:tcPr>
            <w:gridSpan w:val="2"/>
            <w:vAlign w:val="center"/>
          </w:tcPr>
          <w:p w:rsidR="00000000" w:rsidDel="00000000" w:rsidP="00000000" w:rsidRDefault="00000000" w:rsidRPr="00000000" w14:paraId="00000033">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APT Secretariat</w:t>
            </w:r>
          </w:p>
        </w:tc>
        <w:tc>
          <w:tcPr/>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responsible for overall management of the project</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 with Chinese government in planning and selecting projects to be implemented</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40" w:line="240" w:lineRule="auto"/>
              <w:ind w:left="331" w:right="43" w:hanging="288"/>
              <w:jc w:val="both"/>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project fund (EBC-C)</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40" w:before="40" w:line="240" w:lineRule="auto"/>
              <w:ind w:left="331" w:right="43" w:hanging="288"/>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 interim and final reports from experts</w:t>
            </w:r>
          </w:p>
        </w:tc>
      </w:tr>
    </w:tbl>
    <w:p w:rsidR="00000000" w:rsidDel="00000000" w:rsidP="00000000" w:rsidRDefault="00000000" w:rsidRPr="00000000" w14:paraId="00000039">
      <w:pPr>
        <w:spacing w:after="1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Requirements of Application</w:t>
      </w:r>
      <w:r w:rsidDel="00000000" w:rsidR="00000000" w:rsidRPr="00000000">
        <w:rPr>
          <w:rtl w:val="0"/>
        </w:rPr>
      </w:r>
    </w:p>
    <w:p w:rsidR="00000000" w:rsidDel="00000000" w:rsidP="00000000" w:rsidRDefault="00000000" w:rsidRPr="00000000" w14:paraId="0000003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Applications are to be submitted through the focal points of APT Members or Associate Members.</w:t>
      </w:r>
    </w:p>
    <w:p w:rsidR="00000000" w:rsidDel="00000000" w:rsidP="00000000" w:rsidRDefault="00000000" w:rsidRPr="00000000" w14:paraId="0000003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Applicants should contact the Chinese experts through CAICT (Ms. WANG Yapeng,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aptebcc@caict.ac.cn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in order to consult with a plan of project and prepare applications.</w:t>
      </w:r>
    </w:p>
    <w:p w:rsidR="00000000" w:rsidDel="00000000" w:rsidP="00000000" w:rsidRDefault="00000000" w:rsidRPr="00000000" w14:paraId="0000003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and institutions involved in the project should be well coordinated with each other in advance. All cooperating partners must be listed in the application form, which is requested to be sent to the APT Secretariat.</w:t>
      </w:r>
    </w:p>
    <w:p w:rsidR="00000000" w:rsidDel="00000000" w:rsidP="00000000" w:rsidRDefault="00000000" w:rsidRPr="00000000" w14:paraId="0000003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should be carried out within the APT member countries.</w:t>
      </w:r>
    </w:p>
    <w:p w:rsidR="00000000" w:rsidDel="00000000" w:rsidP="00000000" w:rsidRDefault="00000000" w:rsidRPr="00000000" w14:paraId="0000003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organizations involved in the project are requested to ensure that experts and focal points from the beneficiary countries and the experts from China for the project will be available for the full period of the project.</w:t>
      </w:r>
    </w:p>
    <w:p w:rsidR="00000000" w:rsidDel="00000000" w:rsidP="00000000" w:rsidRDefault="00000000" w:rsidRPr="00000000" w14:paraId="00000040">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participants from both countries in the project should have sufficient resources to implement the project.</w:t>
      </w:r>
    </w:p>
    <w:p w:rsidR="00000000" w:rsidDel="00000000" w:rsidP="00000000" w:rsidRDefault="00000000" w:rsidRPr="00000000" w14:paraId="00000041">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shall be completed within 24 months from the date of the notification of the selection results by the APT Secretariat.</w:t>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w:t>
      </w:r>
    </w:p>
    <w:p w:rsidR="00000000" w:rsidDel="00000000" w:rsidP="00000000" w:rsidRDefault="00000000" w:rsidRPr="00000000" w14:paraId="0000004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proposed project will be in the selection process at the APT Secretariat in consultation with the government of China based on the above-mentioned requirements and the criteria stated below.</w:t>
      </w:r>
    </w:p>
    <w:p w:rsidR="00000000" w:rsidDel="00000000" w:rsidP="00000000" w:rsidRDefault="00000000" w:rsidRPr="00000000" w14:paraId="0000004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 Members or Associate Members that have submitted the applications will receive notification from the APT Secretariat on the result of the selection.</w:t>
      </w:r>
    </w:p>
    <w:p w:rsidR="00000000" w:rsidDel="00000000" w:rsidP="00000000" w:rsidRDefault="00000000" w:rsidRPr="00000000" w14:paraId="0000004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selection process of the project proposals, APT Secretariat may interview persons involved in the project in order to examine the conformity with the requirements and the selection criteria.</w:t>
      </w:r>
    </w:p>
    <w:p w:rsidR="00000000" w:rsidDel="00000000" w:rsidP="00000000" w:rsidRDefault="00000000" w:rsidRPr="00000000" w14:paraId="0000004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or after the project implementation, APT Secretariat may conduct inspection to confirm the progress or completion of the project.</w:t>
      </w:r>
    </w:p>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Selection Criteria</w:t>
      </w:r>
    </w:p>
    <w:p w:rsidR="00000000" w:rsidDel="00000000" w:rsidP="00000000" w:rsidRDefault="00000000" w:rsidRPr="00000000" w14:paraId="00000048">
      <w:pPr>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aspects will be considered in the selection process.</w:t>
      </w:r>
    </w:p>
    <w:p w:rsidR="00000000" w:rsidDel="00000000" w:rsidP="00000000" w:rsidRDefault="00000000" w:rsidRPr="00000000" w14:paraId="0000004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Objectives of the proposed project</w:t>
      </w:r>
    </w:p>
    <w:p w:rsidR="00000000" w:rsidDel="00000000" w:rsidP="00000000" w:rsidRDefault="00000000" w:rsidRPr="00000000" w14:paraId="0000004A">
      <w:pPr>
        <w:ind w:left="5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project plan should be in line with the above-mentioned purposes and objectives and can effectively help APT member countries to promote sustainable development in the ICT field. </w:t>
      </w:r>
    </w:p>
    <w:p w:rsidR="00000000" w:rsidDel="00000000" w:rsidP="00000000" w:rsidRDefault="00000000" w:rsidRPr="00000000" w14:paraId="0000004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Feasibility of the project implementation plan</w:t>
      </w:r>
    </w:p>
    <w:p w:rsidR="00000000" w:rsidDel="00000000" w:rsidP="00000000" w:rsidRDefault="00000000" w:rsidRPr="00000000" w14:paraId="0000004C">
      <w:pPr>
        <w:ind w:left="5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project should have an accurate status analysis, a feasible action plan, and a proper understanding of ICT applications.</w:t>
      </w:r>
    </w:p>
    <w:p w:rsidR="00000000" w:rsidDel="00000000" w:rsidP="00000000" w:rsidRDefault="00000000" w:rsidRPr="00000000" w14:paraId="0000004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execution capability of the organizations or experts</w:t>
      </w:r>
    </w:p>
    <w:p w:rsidR="00000000" w:rsidDel="00000000" w:rsidP="00000000" w:rsidRDefault="00000000" w:rsidRPr="00000000" w14:paraId="0000004E">
      <w:pPr>
        <w:ind w:left="5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and experts proposing projects should have sufficient experience and the appropriate ability to complete the project in time.</w:t>
      </w:r>
    </w:p>
    <w:p w:rsidR="00000000" w:rsidDel="00000000" w:rsidP="00000000" w:rsidRDefault="00000000" w:rsidRPr="00000000" w14:paraId="0000004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Suitability of the budget plan</w:t>
      </w:r>
    </w:p>
    <w:p w:rsidR="00000000" w:rsidDel="00000000" w:rsidP="00000000" w:rsidRDefault="00000000" w:rsidRPr="00000000" w14:paraId="00000050">
      <w:pPr>
        <w:ind w:left="5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plan of the proposed project should have the validity and efficiency to complete the project and the proposed project will be given a priority if the matching fund (either in cash or in kind) from other resources are available, including from their own governments.</w:t>
      </w:r>
    </w:p>
    <w:p w:rsidR="00000000" w:rsidDel="00000000" w:rsidP="00000000" w:rsidRDefault="00000000" w:rsidRPr="00000000" w14:paraId="0000005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Fiscal Support</w:t>
      </w:r>
    </w:p>
    <w:p w:rsidR="00000000" w:rsidDel="00000000" w:rsidP="00000000" w:rsidRDefault="00000000" w:rsidRPr="00000000" w14:paraId="00000052">
      <w:pPr>
        <w:ind w:firstLine="5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Fiscal support should be given to the following items:</w:t>
      </w:r>
    </w:p>
    <w:p w:rsidR="00000000" w:rsidDel="00000000" w:rsidP="00000000" w:rsidRDefault="00000000" w:rsidRPr="00000000" w14:paraId="00000053">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Planning, investigation and report: costs for planning, investigation and reporting for implementing project, including expert fees for the experts in this activity (the total amount of expert fees of the both sides should not exceed 25% of the total amount of APT support);</w:t>
      </w:r>
    </w:p>
    <w:p w:rsidR="00000000" w:rsidDel="00000000" w:rsidP="00000000" w:rsidRDefault="00000000" w:rsidRPr="00000000" w14:paraId="00000054">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Procurement of equipment: costs for procuring necessary equipment/software required for implementation of the project;</w:t>
      </w:r>
    </w:p>
    <w:p w:rsidR="00000000" w:rsidDel="00000000" w:rsidP="00000000" w:rsidRDefault="00000000" w:rsidRPr="00000000" w14:paraId="0000005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Labor costs: labor costs of constructors who may be involved in the project implementation;</w:t>
      </w:r>
    </w:p>
    <w:p w:rsidR="00000000" w:rsidDel="00000000" w:rsidP="00000000" w:rsidRDefault="00000000" w:rsidRPr="00000000" w14:paraId="0000005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Freight: postage and freight related to the transportation of project materials;</w:t>
      </w:r>
    </w:p>
    <w:p w:rsidR="00000000" w:rsidDel="00000000" w:rsidP="00000000" w:rsidRDefault="00000000" w:rsidRPr="00000000" w14:paraId="0000005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 trips: travel expenses, accommodation fees, and other business trip costs for field survey, study visit and reporting activity (please see details in Financial Support Details below);</w:t>
      </w:r>
    </w:p>
    <w:p w:rsidR="00000000" w:rsidDel="00000000" w:rsidP="00000000" w:rsidRDefault="00000000" w:rsidRPr="00000000" w14:paraId="0000005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Miscellaneous: unforeseen expenses not mentioned above (Up to 10% of the total amount of the APT financial support).</w:t>
      </w:r>
    </w:p>
    <w:p w:rsidR="00000000" w:rsidDel="00000000" w:rsidP="00000000" w:rsidRDefault="00000000" w:rsidRPr="00000000" w14:paraId="0000005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Financial Support Details</w:t>
      </w:r>
    </w:p>
    <w:p w:rsidR="00000000" w:rsidDel="00000000" w:rsidP="00000000" w:rsidRDefault="00000000" w:rsidRPr="00000000" w14:paraId="0000005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Costs in the applicant’s country</w:t>
      </w:r>
    </w:p>
    <w:p w:rsidR="00000000" w:rsidDel="00000000" w:rsidP="00000000" w:rsidRDefault="00000000" w:rsidRPr="00000000" w14:paraId="0000005B">
      <w:pPr>
        <w:keepNext w:val="0"/>
        <w:keepLines w:val="0"/>
        <w:widowControl w:val="0"/>
        <w:numPr>
          <w:ilvl w:val="4"/>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expected that any local costs related to the project are to be borne by the applicant’s organization or other collaborating organizations in the applicant’s country for the project implementation as far as possible. APT may consider providing financial support on a case-by-case basis in case of special need. </w:t>
      </w:r>
    </w:p>
    <w:p w:rsidR="00000000" w:rsidDel="00000000" w:rsidP="00000000" w:rsidRDefault="00000000" w:rsidRPr="00000000" w14:paraId="0000005C">
      <w:pPr>
        <w:keepNext w:val="0"/>
        <w:keepLines w:val="0"/>
        <w:widowControl w:val="0"/>
        <w:numPr>
          <w:ilvl w:val="4"/>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Above-mentioned local costs include daily allowance, accommodation, and transportation in the applicant’s country, costs related to the office space and equipment (such as table, chair and communication costs). </w:t>
      </w:r>
    </w:p>
    <w:p w:rsidR="00000000" w:rsidDel="00000000" w:rsidP="00000000" w:rsidRDefault="00000000" w:rsidRPr="00000000" w14:paraId="0000005D">
      <w:pPr>
        <w:keepNext w:val="0"/>
        <w:keepLines w:val="0"/>
        <w:widowControl w:val="0"/>
        <w:numPr>
          <w:ilvl w:val="4"/>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Salary for researchers from the proposing members organizations shall not be borne by APT. </w:t>
      </w:r>
    </w:p>
    <w:p w:rsidR="00000000" w:rsidDel="00000000" w:rsidP="00000000" w:rsidRDefault="00000000" w:rsidRPr="00000000" w14:paraId="0000005E">
      <w:pPr>
        <w:keepNext w:val="0"/>
        <w:keepLines w:val="0"/>
        <w:widowControl w:val="0"/>
        <w:numPr>
          <w:ilvl w:val="4"/>
          <w:numId w:val="5"/>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proposing APT member country should make its best effort to exempt import taxes and custom clearance fees of all relevant equipment used in the project.</w:t>
      </w:r>
    </w:p>
    <w:p w:rsidR="00000000" w:rsidDel="00000000" w:rsidP="00000000" w:rsidRDefault="00000000" w:rsidRPr="00000000" w14:paraId="0000005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Costs of business trips to a foreign country</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cost estimation at the application stage, for the staff involved in the project of the beneficiary country traveling to China and for the expert from China traveling to the beneficiary country, the amount will cover daily allowance, hotel accommodation and airfare of the return ticket. The UN DSA rate as of February 2020 is to be referred to for the estimation.</w:t>
      </w:r>
    </w:p>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implementing the project, the actual expenditure calculated under the framework described above would refer to the UN DSA rate at the time of expenditure. </w:t>
      </w:r>
    </w:p>
    <w:p w:rsidR="00000000" w:rsidDel="00000000" w:rsidP="00000000" w:rsidRDefault="00000000" w:rsidRPr="00000000" w14:paraId="00000062">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 method of APT financial support</w:t>
      </w:r>
    </w:p>
    <w:p w:rsidR="00000000" w:rsidDel="00000000" w:rsidP="00000000" w:rsidRDefault="00000000" w:rsidRPr="00000000" w14:paraId="000000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Upon receiving the financial report, with the documentary evidence such as receipts, the APT Secretariat will determine the total amount of the APT financial support.</w:t>
      </w:r>
    </w:p>
    <w:p w:rsidR="00000000" w:rsidDel="00000000" w:rsidP="00000000" w:rsidRDefault="00000000" w:rsidRPr="00000000" w14:paraId="0000006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required, up to 60% of the approved budget will be provided prior to the project implementation.</w:t>
      </w:r>
    </w:p>
    <w:p w:rsidR="00000000" w:rsidDel="00000000" w:rsidP="00000000" w:rsidRDefault="00000000" w:rsidRPr="00000000" w14:paraId="000000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principle, the balance will be paid after the completion of the project. However, upon APT’s consideration, additional amount up to the balance can be paid earlier if so requested in the interim report.</w:t>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total cost of the project is less than the amount provided, the balance shall be returned to APT. </w:t>
      </w:r>
    </w:p>
    <w:p w:rsidR="00000000" w:rsidDel="00000000" w:rsidP="00000000" w:rsidRDefault="00000000" w:rsidRPr="00000000" w14:paraId="0000006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project cost in excess of the approved budget shall be borne by the members administrations or the institutions involved.</w:t>
      </w:r>
    </w:p>
    <w:p w:rsidR="00000000" w:rsidDel="00000000" w:rsidP="00000000" w:rsidRDefault="00000000" w:rsidRPr="00000000" w14:paraId="0000006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Reporting to the APT Secretariat and APT meetings</w:t>
      </w:r>
    </w:p>
    <w:p w:rsidR="00000000" w:rsidDel="00000000" w:rsidP="00000000" w:rsidRDefault="00000000" w:rsidRPr="00000000" w14:paraId="0000006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interim project report and an interim accounting report shall be submitted to the APT Secretariat according the proposed schedule of the project implementation.</w:t>
      </w:r>
    </w:p>
    <w:p w:rsidR="00000000" w:rsidDel="00000000" w:rsidP="00000000" w:rsidRDefault="00000000" w:rsidRPr="00000000" w14:paraId="0000006A">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reports shall be submitted to the APT Secretariat within one month after the project completion.</w:t>
      </w:r>
    </w:p>
    <w:p w:rsidR="00000000" w:rsidDel="00000000" w:rsidP="00000000" w:rsidRDefault="00000000" w:rsidRPr="00000000" w14:paraId="000000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project completion report with detailed outputs and analysis of the project results.</w:t>
      </w:r>
    </w:p>
    <w:p w:rsidR="00000000" w:rsidDel="00000000" w:rsidP="00000000" w:rsidRDefault="00000000" w:rsidRPr="00000000" w14:paraId="000000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accounting reports, attached with the certification or receipts.</w:t>
      </w:r>
    </w:p>
    <w:p w:rsidR="00000000" w:rsidDel="00000000" w:rsidP="00000000" w:rsidRDefault="00000000" w:rsidRPr="00000000" w14:paraId="0000006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any changes are needed to the initial project plan or budget, such changes shall be immediately reported to the APT Secretariat for approval.</w:t>
      </w:r>
    </w:p>
    <w:p w:rsidR="00000000" w:rsidDel="00000000" w:rsidP="00000000" w:rsidRDefault="00000000" w:rsidRPr="00000000" w14:paraId="0000006E">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Further information may be requested by the APT Secretariat if deemed necessary.</w:t>
      </w:r>
    </w:p>
    <w:p w:rsidR="00000000" w:rsidDel="00000000" w:rsidP="00000000" w:rsidRDefault="00000000" w:rsidRPr="00000000" w14:paraId="0000006F">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8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results should be reported at APT meetings related to ICT development in order to share them with APT members.</w:t>
      </w:r>
    </w:p>
    <w:p w:rsidR="00000000" w:rsidDel="00000000" w:rsidP="00000000" w:rsidRDefault="00000000" w:rsidRPr="00000000" w14:paraId="0000007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Expected Time Schedule</w:t>
      </w:r>
    </w:p>
    <w:p w:rsidR="00000000" w:rsidDel="00000000" w:rsidP="00000000" w:rsidRDefault="00000000" w:rsidRPr="00000000" w14:paraId="00000071">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2020: Circulation of APT letter of call for proposals</w:t>
      </w:r>
    </w:p>
    <w:p w:rsidR="00000000" w:rsidDel="00000000" w:rsidP="00000000" w:rsidRDefault="00000000" w:rsidRPr="00000000" w14:paraId="00000072">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to August 2020: Proposal submission</w:t>
      </w:r>
    </w:p>
    <w:p w:rsidR="00000000" w:rsidDel="00000000" w:rsidP="00000000" w:rsidRDefault="00000000" w:rsidRPr="00000000" w14:paraId="00000073">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2020: Selection of the proposals</w:t>
      </w:r>
    </w:p>
    <w:p w:rsidR="00000000" w:rsidDel="00000000" w:rsidP="00000000" w:rsidRDefault="00000000" w:rsidRPr="00000000" w14:paraId="00000074">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September to October 2020: Discussion on the detailed project among the China, APT Secretariat and beneficiary country. Preparation of detailed project documents by Beneficiary country</w:t>
      </w:r>
    </w:p>
    <w:p w:rsidR="00000000" w:rsidDel="00000000" w:rsidP="00000000" w:rsidRDefault="00000000" w:rsidRPr="00000000" w14:paraId="00000075">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2020: Disbursement of the 1st portion of the APT support after final approval </w:t>
      </w:r>
    </w:p>
    <w:p w:rsidR="00000000" w:rsidDel="00000000" w:rsidP="00000000" w:rsidRDefault="00000000" w:rsidRPr="00000000" w14:paraId="00000076">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40" w:lineRule="auto"/>
        <w:ind w:left="1094" w:right="0" w:hanging="374.00000000000006"/>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to September 2021: Interim project report to be submitted to APT Secretariat. If requested, the balance of the APT financial support will be disbursed</w:t>
      </w:r>
    </w:p>
    <w:p w:rsidR="00000000" w:rsidDel="00000000" w:rsidP="00000000" w:rsidRDefault="00000000" w:rsidRPr="00000000" w14:paraId="0000007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Liability</w:t>
      </w:r>
    </w:p>
    <w:p w:rsidR="00000000" w:rsidDel="00000000" w:rsidP="00000000" w:rsidRDefault="00000000" w:rsidRPr="00000000" w14:paraId="00000078">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 will not be responsible for any accidents, personal injury or any loss of any nature during the implementation of the projects under the project.</w:t>
      </w:r>
    </w:p>
    <w:p w:rsidR="00000000" w:rsidDel="00000000" w:rsidP="00000000" w:rsidRDefault="00000000" w:rsidRPr="00000000" w14:paraId="0000007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 is not liable for any legal implications arising from the implementation and operation of the projects.</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240" w:before="240" w:line="240" w:lineRule="auto"/>
        <w:ind w:left="547" w:right="0" w:hanging="547"/>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Application and Contact Information</w:t>
      </w:r>
    </w:p>
    <w:p w:rsidR="00000000" w:rsidDel="00000000" w:rsidP="00000000" w:rsidRDefault="00000000" w:rsidRPr="00000000" w14:paraId="0000007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application form and the budgeting form shall be filled out appropriately and submitted to the APT Secretariat via email </w:t>
      </w:r>
      <w:bookmarkStart w:colFirst="0" w:colLast="0" w:name="3dy6vkm" w:id="5"/>
      <w:bookmarkEnd w:id="5"/>
      <w:bookmarkStart w:colFirst="0" w:colLast="0" w:name="tyjcwt" w:id="6"/>
      <w:bookmarkEnd w:id="6"/>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ebc-c@apt.int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inquiry of the project proposal and implementation, please contact the APT Secretariat via email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ebc-c@apt.int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200" w:before="0" w:line="240" w:lineRule="auto"/>
        <w:ind w:left="1094" w:right="0" w:hanging="54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inquiry for Chinese Experts, please contact CAICT via email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aptebcc@caict.ac.cn</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spacing w:after="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F">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80">
      <w:pPr>
        <w:spacing w:after="0" w:lineRule="auto"/>
        <w:rPr>
          <w:rFonts w:ascii="Times New Roman" w:cs="Times New Roman" w:eastAsia="Times New Roman" w:hAnsi="Times New Roman"/>
          <w:sz w:val="20"/>
          <w:szCs w:val="20"/>
        </w:rPr>
      </w:pPr>
      <w:r w:rsidDel="00000000" w:rsidR="00000000" w:rsidRPr="00000000">
        <w:rPr>
          <w:rtl w:val="0"/>
        </w:rPr>
      </w:r>
    </w:p>
    <w:sectPr>
      <w:headerReference r:id="rId11" w:type="default"/>
      <w:headerReference r:id="rId12" w:type="first"/>
      <w:footerReference r:id="rId13" w:type="default"/>
      <w:footerReference r:id="rId14" w:type="even"/>
      <w:pgSz w:h="16838" w:w="11906"/>
      <w:pgMar w:bottom="1296" w:top="1152" w:left="1440" w:right="129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ahoma"/>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17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0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bullet"/>
      <w:lvlText w:val="●"/>
      <w:lvlJc w:val="left"/>
      <w:pPr>
        <w:ind w:left="720" w:hanging="360"/>
      </w:pPr>
      <w:rPr>
        <w:rFonts w:ascii="Noto Sans Symbols" w:cs="Noto Sans Symbols" w:eastAsia="Noto Sans Symbols" w:hAnsi="Noto Sans Symbols"/>
      </w:rPr>
    </w:lvl>
    <w:lvl w:ilvl="2">
      <w:start w:val="1"/>
      <w:numFmt w:val="decimal"/>
      <w:lvlText w:val="%1.●.%3"/>
      <w:lvlJc w:val="left"/>
      <w:pPr>
        <w:ind w:left="1080" w:hanging="720"/>
      </w:pPr>
      <w:rPr/>
    </w:lvl>
    <w:lvl w:ilvl="3">
      <w:start w:val="1"/>
      <w:numFmt w:val="decimal"/>
      <w:lvlText w:val="%1.●.%3.%4"/>
      <w:lvlJc w:val="left"/>
      <w:pPr>
        <w:ind w:left="1080" w:hanging="720"/>
      </w:pPr>
      <w:rPr/>
    </w:lvl>
    <w:lvl w:ilvl="4">
      <w:start w:val="1"/>
      <w:numFmt w:val="lowerLetter"/>
      <w:lvlText w:val="%5)"/>
      <w:lvlJc w:val="left"/>
      <w:pPr>
        <w:ind w:left="1440" w:hanging="1080"/>
      </w:pPr>
      <w:rPr/>
    </w:lvl>
    <w:lvl w:ilvl="5">
      <w:start w:val="1"/>
      <w:numFmt w:val="decimal"/>
      <w:lvlText w:val="%1.●.%3.%4.%5.%6"/>
      <w:lvlJc w:val="left"/>
      <w:pPr>
        <w:ind w:left="1440" w:hanging="1080"/>
      </w:pPr>
      <w:rPr/>
    </w:lvl>
    <w:lvl w:ilvl="6">
      <w:start w:val="1"/>
      <w:numFmt w:val="decimal"/>
      <w:lvlText w:val="%1.●.%3.%4.%5.%6.%7"/>
      <w:lvlJc w:val="left"/>
      <w:pPr>
        <w:ind w:left="1800" w:hanging="1440"/>
      </w:pPr>
      <w:rPr/>
    </w:lvl>
    <w:lvl w:ilvl="7">
      <w:start w:val="1"/>
      <w:numFmt w:val="decimal"/>
      <w:lvlText w:val="%1.●.%3.%4.%5.%6.%7.%8"/>
      <w:lvlJc w:val="left"/>
      <w:pPr>
        <w:ind w:left="1800" w:hanging="1440"/>
      </w:pPr>
      <w:rPr/>
    </w:lvl>
    <w:lvl w:ilvl="8">
      <w:start w:val="1"/>
      <w:numFmt w:val="decimal"/>
      <w:lvlText w:val="%1.●.%3.%4.%5.%6.%7.%8.%9"/>
      <w:lvlJc w:val="left"/>
      <w:pPr>
        <w:ind w:left="2160" w:hanging="1800"/>
      </w:pPr>
      <w:rPr/>
    </w:lvl>
  </w:abstractNum>
  <w:abstractNum w:abstractNumId="2">
    <w:lvl w:ilvl="0">
      <w:start w:val="1"/>
      <w:numFmt w:val="lowerLetter"/>
      <w:lvlText w:val="%1)"/>
      <w:lvlJc w:val="left"/>
      <w:pPr>
        <w:ind w:left="1060" w:hanging="420"/>
      </w:pPr>
      <w:rPr/>
    </w:lvl>
    <w:lvl w:ilvl="1">
      <w:start w:val="1"/>
      <w:numFmt w:val="lowerLetter"/>
      <w:lvlText w:val="%2)"/>
      <w:lvlJc w:val="left"/>
      <w:pPr>
        <w:ind w:left="1480" w:hanging="420"/>
      </w:pPr>
      <w:rPr/>
    </w:lvl>
    <w:lvl w:ilvl="2">
      <w:start w:val="1"/>
      <w:numFmt w:val="lowerRoman"/>
      <w:lvlText w:val="%3."/>
      <w:lvlJc w:val="right"/>
      <w:pPr>
        <w:ind w:left="1900" w:hanging="420"/>
      </w:pPr>
      <w:rPr/>
    </w:lvl>
    <w:lvl w:ilvl="3">
      <w:start w:val="1"/>
      <w:numFmt w:val="decimal"/>
      <w:lvlText w:val="%4."/>
      <w:lvlJc w:val="left"/>
      <w:pPr>
        <w:ind w:left="2320" w:hanging="420"/>
      </w:pPr>
      <w:rPr/>
    </w:lvl>
    <w:lvl w:ilvl="4">
      <w:start w:val="1"/>
      <w:numFmt w:val="lowerLetter"/>
      <w:lvlText w:val="%5)"/>
      <w:lvlJc w:val="left"/>
      <w:pPr>
        <w:ind w:left="2740" w:hanging="420"/>
      </w:pPr>
      <w:rPr/>
    </w:lvl>
    <w:lvl w:ilvl="5">
      <w:start w:val="1"/>
      <w:numFmt w:val="lowerRoman"/>
      <w:lvlText w:val="%6."/>
      <w:lvlJc w:val="right"/>
      <w:pPr>
        <w:ind w:left="3160" w:hanging="420"/>
      </w:pPr>
      <w:rPr/>
    </w:lvl>
    <w:lvl w:ilvl="6">
      <w:start w:val="1"/>
      <w:numFmt w:val="decimal"/>
      <w:lvlText w:val="%7."/>
      <w:lvlJc w:val="left"/>
      <w:pPr>
        <w:ind w:left="3580" w:hanging="420"/>
      </w:pPr>
      <w:rPr/>
    </w:lvl>
    <w:lvl w:ilvl="7">
      <w:start w:val="1"/>
      <w:numFmt w:val="lowerLetter"/>
      <w:lvlText w:val="%8)"/>
      <w:lvlJc w:val="left"/>
      <w:pPr>
        <w:ind w:left="4000" w:hanging="420"/>
      </w:pPr>
      <w:rPr/>
    </w:lvl>
    <w:lvl w:ilvl="8">
      <w:start w:val="1"/>
      <w:numFmt w:val="lowerRoman"/>
      <w:lvlText w:val="%9."/>
      <w:lvlJc w:val="right"/>
      <w:pPr>
        <w:ind w:left="4420" w:hanging="420"/>
      </w:pPr>
      <w:rPr/>
    </w:lvl>
  </w:abstractNum>
  <w:abstractNum w:abstractNumId="3">
    <w:lvl w:ilvl="0">
      <w:start w:val="1"/>
      <w:numFmt w:val="lowerLetter"/>
      <w:lvlText w:val="%1)"/>
      <w:lvlJc w:val="left"/>
      <w:pPr>
        <w:ind w:left="1060" w:hanging="420"/>
      </w:pPr>
      <w:rPr/>
    </w:lvl>
    <w:lvl w:ilvl="1">
      <w:start w:val="1"/>
      <w:numFmt w:val="lowerLetter"/>
      <w:lvlText w:val="%2)"/>
      <w:lvlJc w:val="left"/>
      <w:pPr>
        <w:ind w:left="1480" w:hanging="420"/>
      </w:pPr>
      <w:rPr/>
    </w:lvl>
    <w:lvl w:ilvl="2">
      <w:start w:val="1"/>
      <w:numFmt w:val="lowerRoman"/>
      <w:lvlText w:val="%3."/>
      <w:lvlJc w:val="right"/>
      <w:pPr>
        <w:ind w:left="1900" w:hanging="420"/>
      </w:pPr>
      <w:rPr/>
    </w:lvl>
    <w:lvl w:ilvl="3">
      <w:start w:val="1"/>
      <w:numFmt w:val="decimal"/>
      <w:lvlText w:val="%4."/>
      <w:lvlJc w:val="left"/>
      <w:pPr>
        <w:ind w:left="2320" w:hanging="420"/>
      </w:pPr>
      <w:rPr/>
    </w:lvl>
    <w:lvl w:ilvl="4">
      <w:start w:val="1"/>
      <w:numFmt w:val="lowerLetter"/>
      <w:lvlText w:val="%5)"/>
      <w:lvlJc w:val="left"/>
      <w:pPr>
        <w:ind w:left="2740" w:hanging="420"/>
      </w:pPr>
      <w:rPr/>
    </w:lvl>
    <w:lvl w:ilvl="5">
      <w:start w:val="1"/>
      <w:numFmt w:val="lowerRoman"/>
      <w:lvlText w:val="%6."/>
      <w:lvlJc w:val="right"/>
      <w:pPr>
        <w:ind w:left="3160" w:hanging="420"/>
      </w:pPr>
      <w:rPr/>
    </w:lvl>
    <w:lvl w:ilvl="6">
      <w:start w:val="1"/>
      <w:numFmt w:val="decimal"/>
      <w:lvlText w:val="%7."/>
      <w:lvlJc w:val="left"/>
      <w:pPr>
        <w:ind w:left="3580" w:hanging="420"/>
      </w:pPr>
      <w:rPr/>
    </w:lvl>
    <w:lvl w:ilvl="7">
      <w:start w:val="1"/>
      <w:numFmt w:val="lowerLetter"/>
      <w:lvlText w:val="%8)"/>
      <w:lvlJc w:val="left"/>
      <w:pPr>
        <w:ind w:left="4000" w:hanging="420"/>
      </w:pPr>
      <w:rPr/>
    </w:lvl>
    <w:lvl w:ilvl="8">
      <w:start w:val="1"/>
      <w:numFmt w:val="lowerRoman"/>
      <w:lvlText w:val="%9."/>
      <w:lvlJc w:val="right"/>
      <w:pPr>
        <w:ind w:left="4420" w:hanging="420"/>
      </w:pPr>
      <w:rPr/>
    </w:lvl>
  </w:abstractNum>
  <w:abstractNum w:abstractNumId="4">
    <w:lvl w:ilvl="0">
      <w:start w:val="1"/>
      <w:numFmt w:val="lowerLetter"/>
      <w:lvlText w:val="%1)"/>
      <w:lvlJc w:val="left"/>
      <w:pPr>
        <w:ind w:left="1000" w:hanging="360"/>
      </w:pPr>
      <w:rPr/>
    </w:lvl>
    <w:lvl w:ilvl="1">
      <w:start w:val="1"/>
      <w:numFmt w:val="lowerLetter"/>
      <w:lvlText w:val="%2)"/>
      <w:lvlJc w:val="left"/>
      <w:pPr>
        <w:ind w:left="660" w:hanging="360"/>
      </w:pPr>
      <w:rPr/>
    </w:lvl>
    <w:lvl w:ilvl="2">
      <w:start w:val="1"/>
      <w:numFmt w:val="lowerRoman"/>
      <w:lvlText w:val="%3."/>
      <w:lvlJc w:val="right"/>
      <w:pPr>
        <w:ind w:left="1380" w:hanging="180"/>
      </w:pPr>
      <w:rPr/>
    </w:lvl>
    <w:lvl w:ilvl="3">
      <w:start w:val="1"/>
      <w:numFmt w:val="decimal"/>
      <w:lvlText w:val="%4."/>
      <w:lvlJc w:val="left"/>
      <w:pPr>
        <w:ind w:left="2100" w:hanging="360"/>
      </w:pPr>
      <w:rPr/>
    </w:lvl>
    <w:lvl w:ilvl="4">
      <w:start w:val="1"/>
      <w:numFmt w:val="lowerLetter"/>
      <w:lvlText w:val="%5."/>
      <w:lvlJc w:val="left"/>
      <w:pPr>
        <w:ind w:left="2820" w:hanging="360"/>
      </w:pPr>
      <w:rPr/>
    </w:lvl>
    <w:lvl w:ilvl="5">
      <w:start w:val="1"/>
      <w:numFmt w:val="lowerRoman"/>
      <w:lvlText w:val="%6."/>
      <w:lvlJc w:val="right"/>
      <w:pPr>
        <w:ind w:left="3540" w:hanging="180"/>
      </w:pPr>
      <w:rPr/>
    </w:lvl>
    <w:lvl w:ilvl="6">
      <w:start w:val="1"/>
      <w:numFmt w:val="decimal"/>
      <w:lvlText w:val="%7."/>
      <w:lvlJc w:val="left"/>
      <w:pPr>
        <w:ind w:left="4260" w:hanging="360"/>
      </w:pPr>
      <w:rPr/>
    </w:lvl>
    <w:lvl w:ilvl="7">
      <w:start w:val="1"/>
      <w:numFmt w:val="lowerLetter"/>
      <w:lvlText w:val="%8."/>
      <w:lvlJc w:val="left"/>
      <w:pPr>
        <w:ind w:left="4980" w:hanging="360"/>
      </w:pPr>
      <w:rPr/>
    </w:lvl>
    <w:lvl w:ilvl="8">
      <w:start w:val="1"/>
      <w:numFmt w:val="lowerRoman"/>
      <w:lvlText w:val="%9."/>
      <w:lvlJc w:val="right"/>
      <w:pPr>
        <w:ind w:left="5700" w:hanging="180"/>
      </w:pPr>
      <w:rPr/>
    </w:lvl>
  </w:abstractNum>
  <w:abstractNum w:abstractNumId="5">
    <w:lvl w:ilvl="0">
      <w:start w:val="1"/>
      <w:numFmt w:val="decimal"/>
      <w:lvlText w:val="%1."/>
      <w:lvlJc w:val="left"/>
      <w:pPr>
        <w:ind w:left="720" w:hanging="360"/>
      </w:pPr>
      <w:rPr>
        <w:b w:val="1"/>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lowerLetter"/>
      <w:lvlText w:val="%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6">
    <w:lvl w:ilvl="0">
      <w:start w:val="1"/>
      <w:numFmt w:val="bullet"/>
      <w:lvlText w:val="●"/>
      <w:lvlJc w:val="left"/>
      <w:pPr>
        <w:ind w:left="425" w:hanging="425"/>
      </w:pPr>
      <w:rPr>
        <w:rFonts w:ascii="Noto Sans Symbols" w:cs="Noto Sans Symbols" w:eastAsia="Noto Sans Symbols" w:hAnsi="Noto Sans Symbols"/>
        <w:sz w:val="16"/>
        <w:szCs w:val="16"/>
      </w:rPr>
    </w:lvl>
    <w:lvl w:ilvl="1">
      <w:start w:val="1"/>
      <w:numFmt w:val="decimal"/>
      <w:lvlText w:val="●.%2."/>
      <w:lvlJc w:val="left"/>
      <w:pPr>
        <w:ind w:left="567" w:hanging="567"/>
      </w:pPr>
      <w:rPr/>
    </w:lvl>
    <w:lvl w:ilvl="2">
      <w:start w:val="1"/>
      <w:numFmt w:val="decimal"/>
      <w:lvlText w:val="●.%2.%3."/>
      <w:lvlJc w:val="left"/>
      <w:pPr>
        <w:ind w:left="709" w:hanging="709"/>
      </w:pPr>
      <w:rPr/>
    </w:lvl>
    <w:lvl w:ilvl="3">
      <w:start w:val="1"/>
      <w:numFmt w:val="decimal"/>
      <w:lvlText w:val="●.%2.%3.%4."/>
      <w:lvlJc w:val="left"/>
      <w:pPr>
        <w:ind w:left="851" w:hanging="851"/>
      </w:pPr>
      <w:rPr/>
    </w:lvl>
    <w:lvl w:ilvl="4">
      <w:start w:val="1"/>
      <w:numFmt w:val="decimal"/>
      <w:lvlText w:val="●.%2.%3.%4.%5."/>
      <w:lvlJc w:val="left"/>
      <w:pPr>
        <w:ind w:left="992" w:hanging="992"/>
      </w:pPr>
      <w:rPr/>
    </w:lvl>
    <w:lvl w:ilvl="5">
      <w:start w:val="1"/>
      <w:numFmt w:val="decimal"/>
      <w:lvlText w:val="●.%2.%3.%4.%5.%6."/>
      <w:lvlJc w:val="left"/>
      <w:pPr>
        <w:ind w:left="1134" w:hanging="1134"/>
      </w:pPr>
      <w:rPr/>
    </w:lvl>
    <w:lvl w:ilvl="6">
      <w:start w:val="1"/>
      <w:numFmt w:val="decimal"/>
      <w:lvlText w:val="●.%2.%3.%4.%5.%6.%7."/>
      <w:lvlJc w:val="left"/>
      <w:pPr>
        <w:ind w:left="1276" w:hanging="1276"/>
      </w:pPr>
      <w:rPr/>
    </w:lvl>
    <w:lvl w:ilvl="7">
      <w:start w:val="1"/>
      <w:numFmt w:val="decimal"/>
      <w:lvlText w:val="●.%2.%3.%4.%5.%6.%7.%8."/>
      <w:lvlJc w:val="left"/>
      <w:pPr>
        <w:ind w:left="1418" w:hanging="1418"/>
      </w:pPr>
      <w:rPr/>
    </w:lvl>
    <w:lvl w:ilvl="8">
      <w:start w:val="1"/>
      <w:numFmt w:val="decimal"/>
      <w:lvlText w:val="●.%2.%3.%4.%5.%6.%7.%8.%9."/>
      <w:lvlJc w:val="left"/>
      <w:pPr>
        <w:ind w:left="1559" w:hanging="1559"/>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9.0" w:type="dxa"/>
        <w:bottom w:w="0.0" w:type="dxa"/>
        <w:right w:w="2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aptebcc@caict.ac.cn"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c-c@apt.int"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ptchina@miit.gov.cn" TargetMode="External"/><Relationship Id="rId7" Type="http://schemas.openxmlformats.org/officeDocument/2006/relationships/hyperlink" Target="mailto:aptebcc@caict.ac.cn" TargetMode="External"/><Relationship Id="rId8" Type="http://schemas.openxmlformats.org/officeDocument/2006/relationships/hyperlink" Target="mailto:ebc-c@apt.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